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D6" w:rsidRDefault="00D427D6" w:rsidP="00D427D6">
      <w:pPr>
        <w:jc w:val="center"/>
      </w:pPr>
      <w:r>
        <w:t xml:space="preserve">Reactor Engineering Tasks and </w:t>
      </w:r>
      <w:r w:rsidR="00272DA4">
        <w:t>Applicability</w:t>
      </w:r>
      <w:r>
        <w:t xml:space="preserve"> to Fatigue Rule</w:t>
      </w:r>
    </w:p>
    <w:tbl>
      <w:tblPr>
        <w:tblStyle w:val="TableGrid"/>
        <w:tblW w:w="13698" w:type="dxa"/>
        <w:tblLook w:val="04A0"/>
      </w:tblPr>
      <w:tblGrid>
        <w:gridCol w:w="3258"/>
        <w:gridCol w:w="6840"/>
        <w:gridCol w:w="1890"/>
        <w:gridCol w:w="1710"/>
      </w:tblGrid>
      <w:tr w:rsidR="00D427D6" w:rsidTr="00E954B8">
        <w:tc>
          <w:tcPr>
            <w:tcW w:w="3258" w:type="dxa"/>
          </w:tcPr>
          <w:p w:rsidR="00D427D6" w:rsidRDefault="00D427D6" w:rsidP="00D427D6">
            <w:pPr>
              <w:jc w:val="center"/>
            </w:pPr>
            <w:r>
              <w:t>Reactor Engineering Tasks</w:t>
            </w:r>
          </w:p>
        </w:tc>
        <w:tc>
          <w:tcPr>
            <w:tcW w:w="6840" w:type="dxa"/>
          </w:tcPr>
          <w:p w:rsidR="00D427D6" w:rsidRDefault="00D427D6" w:rsidP="00D427D6">
            <w:pPr>
              <w:jc w:val="center"/>
            </w:pPr>
            <w:r>
              <w:t>Tasks Covered per NSD 200</w:t>
            </w:r>
          </w:p>
        </w:tc>
        <w:tc>
          <w:tcPr>
            <w:tcW w:w="1890" w:type="dxa"/>
          </w:tcPr>
          <w:p w:rsidR="00D427D6" w:rsidRDefault="00D427D6" w:rsidP="00D427D6">
            <w:pPr>
              <w:jc w:val="center"/>
            </w:pPr>
            <w:r>
              <w:t>Work on a Covered System</w:t>
            </w:r>
          </w:p>
        </w:tc>
        <w:tc>
          <w:tcPr>
            <w:tcW w:w="1710" w:type="dxa"/>
          </w:tcPr>
          <w:p w:rsidR="00D427D6" w:rsidRDefault="00D427D6" w:rsidP="00D427D6">
            <w:pPr>
              <w:jc w:val="center"/>
            </w:pPr>
            <w:r>
              <w:t>Subject to Fatigue Rule</w:t>
            </w:r>
          </w:p>
        </w:tc>
      </w:tr>
      <w:tr w:rsidR="00D427D6" w:rsidTr="00E954B8">
        <w:tc>
          <w:tcPr>
            <w:tcW w:w="3258" w:type="dxa"/>
          </w:tcPr>
          <w:p w:rsidR="00D427D6" w:rsidRDefault="00D427D6" w:rsidP="00D427D6">
            <w:pPr>
              <w:jc w:val="center"/>
            </w:pPr>
            <w:r>
              <w:t>Testing (ZPPT</w:t>
            </w:r>
            <w:proofErr w:type="gramStart"/>
            <w:r>
              <w:t>,PET</w:t>
            </w:r>
            <w:proofErr w:type="gramEnd"/>
            <w:r>
              <w:t>, Trip Time Test, PET, 1/m’s, etc.)</w:t>
            </w:r>
          </w:p>
          <w:p w:rsidR="0076181D" w:rsidRDefault="003D5F3B" w:rsidP="0076181D">
            <w:pPr>
              <w:jc w:val="center"/>
            </w:pPr>
            <w:r>
              <w:t>(This also includes ZPPT Rod Worth Testing)</w:t>
            </w:r>
          </w:p>
        </w:tc>
        <w:tc>
          <w:tcPr>
            <w:tcW w:w="6840" w:type="dxa"/>
          </w:tcPr>
          <w:p w:rsidR="00D427D6" w:rsidRPr="004568EB" w:rsidRDefault="00E954B8" w:rsidP="00D427D6">
            <w:pPr>
              <w:jc w:val="center"/>
            </w:pPr>
            <w:r>
              <w:t>This is addressed in NSD 200. This is Advising because it provides technical information with subsequent review by a supervisor (SRO) who is responsible for correct performance of the work activ</w:t>
            </w:r>
            <w:r w:rsidRPr="00272DA4">
              <w:t>ity</w:t>
            </w:r>
            <w:r w:rsidRPr="00E954B8">
              <w:rPr>
                <w:b/>
              </w:rPr>
              <w:t>.</w:t>
            </w:r>
            <w:r w:rsidR="004568EB">
              <w:rPr>
                <w:b/>
              </w:rPr>
              <w:t xml:space="preserve"> </w:t>
            </w:r>
            <w:r w:rsidR="004568EB" w:rsidRPr="004568EB">
              <w:t>This includes Rod worth testing</w:t>
            </w:r>
            <w:r w:rsidR="004568EB">
              <w:t xml:space="preserve"> during ZPPT. Rod Worth testing is a special situation in that the SRO is </w:t>
            </w:r>
            <w:r w:rsidR="0076181D">
              <w:t xml:space="preserve">directly </w:t>
            </w:r>
            <w:r w:rsidR="004568EB">
              <w:t>observing the RO</w:t>
            </w:r>
            <w:r w:rsidR="0076181D">
              <w:t xml:space="preserve">’s actions </w:t>
            </w:r>
            <w:r w:rsidR="004568EB">
              <w:t>but not repeating the instructions to the RO.</w:t>
            </w:r>
            <w:r w:rsidR="0076181D">
              <w:t xml:space="preserve"> This is addressed</w:t>
            </w:r>
            <w:r w:rsidR="00F059B9">
              <w:t xml:space="preserve"> in the Pre-Job Brief for rod worth measurements. The SRO is in direct control of the RO during these measurements. This is similar to the method McGuire and Catawba use except they have one continuous push.</w:t>
            </w:r>
          </w:p>
          <w:p w:rsidR="00E954B8" w:rsidRPr="00E954B8" w:rsidRDefault="00E954B8" w:rsidP="00D427D6">
            <w:pPr>
              <w:jc w:val="center"/>
              <w:rPr>
                <w:b/>
              </w:rPr>
            </w:pPr>
            <w:r w:rsidRPr="00E954B8">
              <w:rPr>
                <w:b/>
              </w:rPr>
              <w:t>NO</w:t>
            </w:r>
          </w:p>
        </w:tc>
        <w:tc>
          <w:tcPr>
            <w:tcW w:w="1890" w:type="dxa"/>
          </w:tcPr>
          <w:p w:rsidR="00D427D6" w:rsidRDefault="00E954B8" w:rsidP="00D427D6">
            <w:pPr>
              <w:jc w:val="center"/>
            </w:pPr>
            <w:r>
              <w:t xml:space="preserve">This involves working on the RCS. </w:t>
            </w:r>
          </w:p>
          <w:p w:rsidR="00E954B8" w:rsidRPr="00E954B8" w:rsidRDefault="00E954B8" w:rsidP="00D427D6">
            <w:pPr>
              <w:jc w:val="center"/>
              <w:rPr>
                <w:b/>
              </w:rPr>
            </w:pPr>
            <w:r w:rsidRPr="00E954B8">
              <w:rPr>
                <w:b/>
              </w:rPr>
              <w:t>YES</w:t>
            </w:r>
          </w:p>
        </w:tc>
        <w:tc>
          <w:tcPr>
            <w:tcW w:w="1710" w:type="dxa"/>
          </w:tcPr>
          <w:p w:rsidR="00D427D6" w:rsidRPr="00E954B8" w:rsidRDefault="00E954B8" w:rsidP="00D427D6">
            <w:pPr>
              <w:jc w:val="center"/>
              <w:rPr>
                <w:b/>
              </w:rPr>
            </w:pPr>
            <w:r w:rsidRPr="00E954B8">
              <w:rPr>
                <w:b/>
              </w:rPr>
              <w:t>NO</w:t>
            </w:r>
          </w:p>
        </w:tc>
      </w:tr>
      <w:tr w:rsidR="00E954B8" w:rsidTr="00E954B8">
        <w:tc>
          <w:tcPr>
            <w:tcW w:w="3258" w:type="dxa"/>
          </w:tcPr>
          <w:p w:rsidR="00E954B8" w:rsidRDefault="00E954B8" w:rsidP="00D427D6">
            <w:pPr>
              <w:jc w:val="center"/>
            </w:pPr>
            <w:r>
              <w:t>Power Maneuver</w:t>
            </w:r>
          </w:p>
        </w:tc>
        <w:tc>
          <w:tcPr>
            <w:tcW w:w="6840" w:type="dxa"/>
          </w:tcPr>
          <w:p w:rsidR="00E954B8" w:rsidRPr="00E954B8" w:rsidRDefault="00E954B8" w:rsidP="00272DA4">
            <w:pPr>
              <w:jc w:val="center"/>
              <w:rPr>
                <w:b/>
              </w:rPr>
            </w:pPr>
            <w:r>
              <w:t>This is addressed in NSD 200. This is Advising because it provides technical information with subsequent review by a supervisor (SRO) who is responsible for correct performance of the work activ</w:t>
            </w:r>
            <w:r w:rsidRPr="00272DA4">
              <w:t>ity</w:t>
            </w:r>
            <w:r w:rsidRPr="00E954B8">
              <w:rPr>
                <w:b/>
              </w:rPr>
              <w:t>.</w:t>
            </w:r>
          </w:p>
          <w:p w:rsidR="00E954B8" w:rsidRPr="00E954B8" w:rsidRDefault="00E954B8" w:rsidP="00272DA4">
            <w:pPr>
              <w:jc w:val="center"/>
              <w:rPr>
                <w:b/>
              </w:rPr>
            </w:pPr>
            <w:r w:rsidRPr="00E954B8">
              <w:rPr>
                <w:b/>
              </w:rPr>
              <w:t>NO</w:t>
            </w:r>
          </w:p>
        </w:tc>
        <w:tc>
          <w:tcPr>
            <w:tcW w:w="1890" w:type="dxa"/>
          </w:tcPr>
          <w:p w:rsidR="00E954B8" w:rsidRDefault="00E954B8" w:rsidP="00272DA4">
            <w:pPr>
              <w:jc w:val="center"/>
            </w:pPr>
            <w:r>
              <w:t xml:space="preserve">This involves working on the RCS. </w:t>
            </w:r>
          </w:p>
          <w:p w:rsidR="00E954B8" w:rsidRPr="00E954B8" w:rsidRDefault="00E954B8" w:rsidP="00272DA4">
            <w:pPr>
              <w:jc w:val="center"/>
              <w:rPr>
                <w:b/>
              </w:rPr>
            </w:pPr>
            <w:r w:rsidRPr="00E954B8">
              <w:rPr>
                <w:b/>
              </w:rPr>
              <w:t>YES</w:t>
            </w:r>
          </w:p>
        </w:tc>
        <w:tc>
          <w:tcPr>
            <w:tcW w:w="1710" w:type="dxa"/>
          </w:tcPr>
          <w:p w:rsidR="00E954B8" w:rsidRPr="00E954B8" w:rsidRDefault="00E954B8" w:rsidP="00D427D6">
            <w:pPr>
              <w:jc w:val="center"/>
              <w:rPr>
                <w:b/>
              </w:rPr>
            </w:pPr>
            <w:r w:rsidRPr="00E954B8">
              <w:rPr>
                <w:b/>
              </w:rPr>
              <w:t>NO</w:t>
            </w:r>
          </w:p>
        </w:tc>
      </w:tr>
      <w:tr w:rsidR="00E954B8" w:rsidTr="00E954B8">
        <w:tc>
          <w:tcPr>
            <w:tcW w:w="3258" w:type="dxa"/>
          </w:tcPr>
          <w:p w:rsidR="00E954B8" w:rsidRDefault="00272DA4" w:rsidP="00D427D6">
            <w:pPr>
              <w:jc w:val="center"/>
            </w:pPr>
            <w:r>
              <w:t>Changing Constants on the OAC</w:t>
            </w:r>
          </w:p>
        </w:tc>
        <w:tc>
          <w:tcPr>
            <w:tcW w:w="6840" w:type="dxa"/>
          </w:tcPr>
          <w:p w:rsidR="00E954B8" w:rsidRDefault="00272DA4" w:rsidP="00D427D6">
            <w:pPr>
              <w:jc w:val="center"/>
            </w:pPr>
            <w:r>
              <w:t>Not working through an SRO</w:t>
            </w:r>
          </w:p>
          <w:p w:rsidR="00272DA4" w:rsidRDefault="00272DA4" w:rsidP="00D427D6">
            <w:pPr>
              <w:jc w:val="center"/>
            </w:pPr>
          </w:p>
          <w:p w:rsidR="00272DA4" w:rsidRPr="00272DA4" w:rsidRDefault="00272DA4" w:rsidP="00D427D6">
            <w:pPr>
              <w:jc w:val="center"/>
              <w:rPr>
                <w:b/>
              </w:rPr>
            </w:pPr>
            <w:r w:rsidRPr="00272DA4">
              <w:rPr>
                <w:b/>
              </w:rPr>
              <w:t>YES</w:t>
            </w:r>
          </w:p>
        </w:tc>
        <w:tc>
          <w:tcPr>
            <w:tcW w:w="1890" w:type="dxa"/>
          </w:tcPr>
          <w:p w:rsidR="00E954B8" w:rsidRDefault="00272DA4" w:rsidP="00272DA4">
            <w:pPr>
              <w:jc w:val="center"/>
            </w:pPr>
            <w:r>
              <w:t>The OAC is NOT a Covered System</w:t>
            </w:r>
          </w:p>
          <w:p w:rsidR="00272DA4" w:rsidRPr="00272DA4" w:rsidRDefault="00272DA4" w:rsidP="00272DA4">
            <w:pPr>
              <w:jc w:val="center"/>
              <w:rPr>
                <w:b/>
              </w:rPr>
            </w:pPr>
            <w:r w:rsidRPr="00272DA4">
              <w:rPr>
                <w:b/>
              </w:rPr>
              <w:t>NO</w:t>
            </w:r>
          </w:p>
        </w:tc>
        <w:tc>
          <w:tcPr>
            <w:tcW w:w="1710" w:type="dxa"/>
          </w:tcPr>
          <w:p w:rsidR="00E954B8" w:rsidRPr="00272DA4" w:rsidRDefault="00272DA4" w:rsidP="00D427D6">
            <w:pPr>
              <w:jc w:val="center"/>
              <w:rPr>
                <w:b/>
              </w:rPr>
            </w:pPr>
            <w:r w:rsidRPr="00272DA4">
              <w:rPr>
                <w:b/>
              </w:rPr>
              <w:t>NO</w:t>
            </w:r>
          </w:p>
        </w:tc>
      </w:tr>
      <w:tr w:rsidR="00E954B8" w:rsidTr="00E954B8">
        <w:tc>
          <w:tcPr>
            <w:tcW w:w="3258" w:type="dxa"/>
          </w:tcPr>
          <w:p w:rsidR="00E954B8" w:rsidRDefault="00272DA4" w:rsidP="00272DA4">
            <w:pPr>
              <w:jc w:val="center"/>
            </w:pPr>
            <w:r>
              <w:t>Fuel Work in the Spent Fuel Pool</w:t>
            </w:r>
          </w:p>
        </w:tc>
        <w:tc>
          <w:tcPr>
            <w:tcW w:w="6840" w:type="dxa"/>
          </w:tcPr>
          <w:p w:rsidR="00E954B8" w:rsidRDefault="00272DA4" w:rsidP="00D427D6">
            <w:pPr>
              <w:jc w:val="center"/>
            </w:pPr>
            <w:r>
              <w:t>Not working through a SRO or Supervisor</w:t>
            </w:r>
          </w:p>
          <w:p w:rsidR="00272DA4" w:rsidRDefault="00272DA4" w:rsidP="00D427D6">
            <w:pPr>
              <w:jc w:val="center"/>
            </w:pPr>
          </w:p>
          <w:p w:rsidR="00272DA4" w:rsidRDefault="00272DA4" w:rsidP="00D427D6">
            <w:pPr>
              <w:jc w:val="center"/>
            </w:pPr>
          </w:p>
          <w:p w:rsidR="00272DA4" w:rsidRDefault="00272DA4" w:rsidP="00D427D6">
            <w:pPr>
              <w:jc w:val="center"/>
            </w:pPr>
          </w:p>
          <w:p w:rsidR="00272DA4" w:rsidRPr="00272DA4" w:rsidRDefault="00272DA4" w:rsidP="00D427D6">
            <w:pPr>
              <w:jc w:val="center"/>
              <w:rPr>
                <w:b/>
              </w:rPr>
            </w:pPr>
            <w:r w:rsidRPr="00272DA4">
              <w:rPr>
                <w:b/>
              </w:rPr>
              <w:t>YES</w:t>
            </w:r>
          </w:p>
        </w:tc>
        <w:tc>
          <w:tcPr>
            <w:tcW w:w="1890" w:type="dxa"/>
          </w:tcPr>
          <w:p w:rsidR="00E954B8" w:rsidRDefault="003D5F3B" w:rsidP="00D427D6">
            <w:pPr>
              <w:jc w:val="center"/>
            </w:pPr>
            <w:r>
              <w:t xml:space="preserve">Spent </w:t>
            </w:r>
            <w:r w:rsidR="00272DA4">
              <w:t>Fuel and the Spent Fuel Pool are not covered systems</w:t>
            </w:r>
          </w:p>
          <w:p w:rsidR="00272DA4" w:rsidRPr="00272DA4" w:rsidRDefault="00272DA4" w:rsidP="00D427D6">
            <w:pPr>
              <w:jc w:val="center"/>
              <w:rPr>
                <w:b/>
              </w:rPr>
            </w:pPr>
            <w:r w:rsidRPr="00272DA4">
              <w:rPr>
                <w:b/>
              </w:rPr>
              <w:t>NO</w:t>
            </w:r>
          </w:p>
        </w:tc>
        <w:tc>
          <w:tcPr>
            <w:tcW w:w="1710" w:type="dxa"/>
          </w:tcPr>
          <w:p w:rsidR="00E954B8" w:rsidRPr="00272DA4" w:rsidRDefault="00272DA4" w:rsidP="00D427D6">
            <w:pPr>
              <w:jc w:val="center"/>
              <w:rPr>
                <w:b/>
              </w:rPr>
            </w:pPr>
            <w:r w:rsidRPr="00272DA4">
              <w:rPr>
                <w:b/>
              </w:rPr>
              <w:t>NO</w:t>
            </w:r>
          </w:p>
        </w:tc>
      </w:tr>
      <w:tr w:rsidR="00E954B8" w:rsidTr="00E954B8">
        <w:tc>
          <w:tcPr>
            <w:tcW w:w="3258" w:type="dxa"/>
          </w:tcPr>
          <w:p w:rsidR="00E954B8" w:rsidRDefault="00272DA4" w:rsidP="00D427D6">
            <w:pPr>
              <w:jc w:val="center"/>
            </w:pPr>
            <w:r>
              <w:t>Offload/Reload</w:t>
            </w:r>
          </w:p>
        </w:tc>
        <w:tc>
          <w:tcPr>
            <w:tcW w:w="6840" w:type="dxa"/>
          </w:tcPr>
          <w:p w:rsidR="00272DA4" w:rsidRPr="00E954B8" w:rsidRDefault="00272DA4" w:rsidP="00272DA4">
            <w:pPr>
              <w:jc w:val="center"/>
              <w:rPr>
                <w:b/>
              </w:rPr>
            </w:pPr>
            <w:r>
              <w:t>This is addressed in NSD 200. This is Advising because it provides technical information with subsequent review by a supervisor (SRO) who is responsible for correct performance of the work activ</w:t>
            </w:r>
            <w:r w:rsidRPr="00272DA4">
              <w:t>ity</w:t>
            </w:r>
            <w:r w:rsidRPr="00E954B8">
              <w:rPr>
                <w:b/>
              </w:rPr>
              <w:t>.</w:t>
            </w:r>
          </w:p>
          <w:p w:rsidR="00E954B8" w:rsidRDefault="00272DA4" w:rsidP="00272DA4">
            <w:pPr>
              <w:jc w:val="center"/>
            </w:pPr>
            <w:r w:rsidRPr="00E954B8">
              <w:rPr>
                <w:b/>
              </w:rPr>
              <w:t>NO</w:t>
            </w:r>
          </w:p>
        </w:tc>
        <w:tc>
          <w:tcPr>
            <w:tcW w:w="1890" w:type="dxa"/>
          </w:tcPr>
          <w:p w:rsidR="00E954B8" w:rsidRDefault="00272DA4" w:rsidP="00D427D6">
            <w:pPr>
              <w:jc w:val="center"/>
            </w:pPr>
            <w:r>
              <w:t>This involves working in the RCS.</w:t>
            </w:r>
          </w:p>
          <w:p w:rsidR="00272DA4" w:rsidRPr="00272DA4" w:rsidRDefault="00272DA4" w:rsidP="00D427D6">
            <w:pPr>
              <w:jc w:val="center"/>
              <w:rPr>
                <w:b/>
              </w:rPr>
            </w:pPr>
            <w:r w:rsidRPr="00272DA4">
              <w:rPr>
                <w:b/>
              </w:rPr>
              <w:t>YES</w:t>
            </w:r>
          </w:p>
        </w:tc>
        <w:tc>
          <w:tcPr>
            <w:tcW w:w="1710" w:type="dxa"/>
          </w:tcPr>
          <w:p w:rsidR="00E954B8" w:rsidRPr="00272DA4" w:rsidRDefault="00272DA4" w:rsidP="00D427D6">
            <w:pPr>
              <w:jc w:val="center"/>
              <w:rPr>
                <w:b/>
              </w:rPr>
            </w:pPr>
            <w:r>
              <w:rPr>
                <w:b/>
              </w:rPr>
              <w:t>NO</w:t>
            </w:r>
          </w:p>
        </w:tc>
      </w:tr>
      <w:tr w:rsidR="00E954B8" w:rsidTr="00E954B8">
        <w:tc>
          <w:tcPr>
            <w:tcW w:w="3258" w:type="dxa"/>
          </w:tcPr>
          <w:p w:rsidR="00E954B8" w:rsidRDefault="00272DA4" w:rsidP="00D427D6">
            <w:pPr>
              <w:jc w:val="center"/>
            </w:pPr>
            <w:r>
              <w:t xml:space="preserve">Deleting or Restoring </w:t>
            </w:r>
            <w:proofErr w:type="spellStart"/>
            <w:r>
              <w:t>incore</w:t>
            </w:r>
            <w:proofErr w:type="spellEnd"/>
            <w:r>
              <w:t xml:space="preserve"> detectors</w:t>
            </w:r>
            <w:r w:rsidR="0076181D">
              <w:t xml:space="preserve"> in NAS</w:t>
            </w:r>
          </w:p>
        </w:tc>
        <w:tc>
          <w:tcPr>
            <w:tcW w:w="6840" w:type="dxa"/>
          </w:tcPr>
          <w:p w:rsidR="00ED008A" w:rsidRDefault="00ED008A" w:rsidP="00ED008A">
            <w:pPr>
              <w:jc w:val="center"/>
            </w:pPr>
            <w:r>
              <w:t>Not working through a SRO or Supervisor</w:t>
            </w:r>
          </w:p>
          <w:p w:rsidR="00ED008A" w:rsidRDefault="00ED008A" w:rsidP="00ED008A">
            <w:pPr>
              <w:jc w:val="center"/>
            </w:pPr>
          </w:p>
          <w:p w:rsidR="00ED008A" w:rsidRDefault="00ED008A" w:rsidP="00ED008A">
            <w:pPr>
              <w:jc w:val="center"/>
            </w:pPr>
          </w:p>
          <w:p w:rsidR="00E954B8" w:rsidRPr="00ED008A" w:rsidRDefault="00ED008A" w:rsidP="00D427D6">
            <w:pPr>
              <w:jc w:val="center"/>
              <w:rPr>
                <w:b/>
              </w:rPr>
            </w:pPr>
            <w:r w:rsidRPr="00ED008A">
              <w:rPr>
                <w:b/>
              </w:rPr>
              <w:t>YES</w:t>
            </w:r>
          </w:p>
        </w:tc>
        <w:tc>
          <w:tcPr>
            <w:tcW w:w="1890" w:type="dxa"/>
          </w:tcPr>
          <w:p w:rsidR="00E954B8" w:rsidRDefault="00ED008A" w:rsidP="00D427D6">
            <w:pPr>
              <w:jc w:val="center"/>
            </w:pPr>
            <w:proofErr w:type="spellStart"/>
            <w:r>
              <w:t>Incore</w:t>
            </w:r>
            <w:proofErr w:type="spellEnd"/>
            <w:r>
              <w:t xml:space="preserve"> detectors are not a covered system</w:t>
            </w:r>
          </w:p>
          <w:p w:rsidR="00ED008A" w:rsidRPr="00ED008A" w:rsidRDefault="00ED008A" w:rsidP="00D427D6">
            <w:pPr>
              <w:jc w:val="center"/>
              <w:rPr>
                <w:b/>
              </w:rPr>
            </w:pPr>
            <w:r w:rsidRPr="00ED008A">
              <w:rPr>
                <w:b/>
              </w:rPr>
              <w:t>NO</w:t>
            </w:r>
          </w:p>
        </w:tc>
        <w:tc>
          <w:tcPr>
            <w:tcW w:w="1710" w:type="dxa"/>
          </w:tcPr>
          <w:p w:rsidR="00E954B8" w:rsidRPr="00272DA4" w:rsidRDefault="00ED008A" w:rsidP="00D427D6">
            <w:pPr>
              <w:jc w:val="center"/>
              <w:rPr>
                <w:b/>
              </w:rPr>
            </w:pPr>
            <w:r>
              <w:rPr>
                <w:b/>
              </w:rPr>
              <w:t>NO</w:t>
            </w:r>
          </w:p>
        </w:tc>
      </w:tr>
      <w:tr w:rsidR="00E954B8" w:rsidTr="00E954B8">
        <w:tc>
          <w:tcPr>
            <w:tcW w:w="3258" w:type="dxa"/>
          </w:tcPr>
          <w:p w:rsidR="00E954B8" w:rsidRDefault="00ED008A" w:rsidP="00D427D6">
            <w:pPr>
              <w:jc w:val="center"/>
            </w:pPr>
            <w:r>
              <w:t xml:space="preserve">Loss of OAC/Tilt, Imbalance, thermal Power </w:t>
            </w:r>
            <w:proofErr w:type="spellStart"/>
            <w:r>
              <w:t>Calcs</w:t>
            </w:r>
            <w:proofErr w:type="spellEnd"/>
          </w:p>
        </w:tc>
        <w:tc>
          <w:tcPr>
            <w:tcW w:w="6840" w:type="dxa"/>
          </w:tcPr>
          <w:p w:rsidR="00ED008A" w:rsidRDefault="00ED008A" w:rsidP="00ED008A">
            <w:pPr>
              <w:jc w:val="center"/>
            </w:pPr>
            <w:r>
              <w:t>Not working through a SRO or Supervisor</w:t>
            </w:r>
          </w:p>
          <w:p w:rsidR="00ED008A" w:rsidRDefault="00ED008A" w:rsidP="00ED008A">
            <w:pPr>
              <w:jc w:val="center"/>
            </w:pPr>
          </w:p>
          <w:p w:rsidR="00E954B8" w:rsidRDefault="00ED008A" w:rsidP="00ED008A">
            <w:pPr>
              <w:jc w:val="center"/>
            </w:pPr>
            <w:r w:rsidRPr="00ED008A">
              <w:rPr>
                <w:b/>
              </w:rPr>
              <w:t>YES</w:t>
            </w:r>
          </w:p>
        </w:tc>
        <w:tc>
          <w:tcPr>
            <w:tcW w:w="1890" w:type="dxa"/>
          </w:tcPr>
          <w:p w:rsidR="00E954B8" w:rsidRDefault="00ED008A" w:rsidP="00D427D6">
            <w:pPr>
              <w:jc w:val="center"/>
            </w:pPr>
            <w:r>
              <w:t>OAC is not a covered system</w:t>
            </w:r>
          </w:p>
          <w:p w:rsidR="00ED008A" w:rsidRPr="00ED008A" w:rsidRDefault="00ED008A" w:rsidP="00D427D6">
            <w:pPr>
              <w:jc w:val="center"/>
              <w:rPr>
                <w:b/>
              </w:rPr>
            </w:pPr>
            <w:r w:rsidRPr="00ED008A">
              <w:rPr>
                <w:b/>
              </w:rPr>
              <w:t>NO</w:t>
            </w:r>
          </w:p>
        </w:tc>
        <w:tc>
          <w:tcPr>
            <w:tcW w:w="1710" w:type="dxa"/>
          </w:tcPr>
          <w:p w:rsidR="00E954B8" w:rsidRPr="00272DA4" w:rsidRDefault="00ED008A" w:rsidP="00D427D6">
            <w:pPr>
              <w:jc w:val="center"/>
              <w:rPr>
                <w:b/>
              </w:rPr>
            </w:pPr>
            <w:r>
              <w:rPr>
                <w:b/>
              </w:rPr>
              <w:t>NO</w:t>
            </w:r>
          </w:p>
        </w:tc>
      </w:tr>
      <w:tr w:rsidR="00E954B8" w:rsidTr="00E954B8">
        <w:tc>
          <w:tcPr>
            <w:tcW w:w="3258" w:type="dxa"/>
          </w:tcPr>
          <w:p w:rsidR="00E954B8" w:rsidRDefault="00ED008A" w:rsidP="00ED008A">
            <w:pPr>
              <w:jc w:val="center"/>
            </w:pPr>
            <w:r>
              <w:lastRenderedPageBreak/>
              <w:t>Loose Parts Recommendations / Changes</w:t>
            </w:r>
          </w:p>
        </w:tc>
        <w:tc>
          <w:tcPr>
            <w:tcW w:w="6840" w:type="dxa"/>
          </w:tcPr>
          <w:p w:rsidR="00ED008A" w:rsidRPr="00E954B8" w:rsidRDefault="00ED008A" w:rsidP="00ED008A">
            <w:pPr>
              <w:jc w:val="center"/>
              <w:rPr>
                <w:b/>
              </w:rPr>
            </w:pPr>
            <w:r>
              <w:t>This is addressed in NSD 200. This is Advising because it provides technical information with subsequent review by a supervisor (SRO) who is responsible for correct performance of the work activ</w:t>
            </w:r>
            <w:r w:rsidRPr="00272DA4">
              <w:t>ity</w:t>
            </w:r>
            <w:r w:rsidRPr="00E954B8">
              <w:rPr>
                <w:b/>
              </w:rPr>
              <w:t>.</w:t>
            </w:r>
          </w:p>
          <w:p w:rsidR="00E954B8" w:rsidRDefault="00ED008A" w:rsidP="00ED008A">
            <w:pPr>
              <w:jc w:val="center"/>
            </w:pPr>
            <w:r w:rsidRPr="00E954B8">
              <w:rPr>
                <w:b/>
              </w:rPr>
              <w:t>NO</w:t>
            </w:r>
          </w:p>
        </w:tc>
        <w:tc>
          <w:tcPr>
            <w:tcW w:w="1890" w:type="dxa"/>
          </w:tcPr>
          <w:p w:rsidR="00E954B8" w:rsidRDefault="00ED008A" w:rsidP="00D427D6">
            <w:pPr>
              <w:jc w:val="center"/>
            </w:pPr>
            <w:r>
              <w:t>Loose parts System is not a covered system</w:t>
            </w:r>
          </w:p>
          <w:p w:rsidR="00ED008A" w:rsidRPr="0093684F" w:rsidRDefault="00ED008A" w:rsidP="00D427D6">
            <w:pPr>
              <w:jc w:val="center"/>
              <w:rPr>
                <w:b/>
              </w:rPr>
            </w:pPr>
            <w:r w:rsidRPr="0093684F">
              <w:rPr>
                <w:b/>
              </w:rPr>
              <w:t>NO</w:t>
            </w:r>
          </w:p>
        </w:tc>
        <w:tc>
          <w:tcPr>
            <w:tcW w:w="1710" w:type="dxa"/>
          </w:tcPr>
          <w:p w:rsidR="00E954B8" w:rsidRPr="00272DA4" w:rsidRDefault="00ED008A" w:rsidP="00D427D6">
            <w:pPr>
              <w:jc w:val="center"/>
              <w:rPr>
                <w:b/>
              </w:rPr>
            </w:pPr>
            <w:r>
              <w:rPr>
                <w:b/>
              </w:rPr>
              <w:t>NO</w:t>
            </w:r>
          </w:p>
        </w:tc>
      </w:tr>
      <w:tr w:rsidR="00E954B8" w:rsidTr="00E954B8">
        <w:tc>
          <w:tcPr>
            <w:tcW w:w="3258" w:type="dxa"/>
          </w:tcPr>
          <w:p w:rsidR="00E954B8" w:rsidRDefault="00ED008A" w:rsidP="00D427D6">
            <w:pPr>
              <w:jc w:val="center"/>
            </w:pPr>
            <w:r>
              <w:br w:type="page"/>
              <w:t xml:space="preserve">Reactivity Balance </w:t>
            </w:r>
            <w:proofErr w:type="spellStart"/>
            <w:r>
              <w:t>Calcs</w:t>
            </w:r>
            <w:proofErr w:type="spellEnd"/>
          </w:p>
        </w:tc>
        <w:tc>
          <w:tcPr>
            <w:tcW w:w="6840" w:type="dxa"/>
          </w:tcPr>
          <w:p w:rsidR="00ED008A" w:rsidRPr="00E954B8" w:rsidRDefault="00ED008A" w:rsidP="00ED008A">
            <w:pPr>
              <w:jc w:val="center"/>
              <w:rPr>
                <w:b/>
              </w:rPr>
            </w:pPr>
            <w:r>
              <w:t>This is addressed in NSD 200. This is Advising because it provides technical information with subsequent review by a supervisor (SRO) who is responsible for correct performance of the work activ</w:t>
            </w:r>
            <w:r w:rsidRPr="00272DA4">
              <w:t>ity</w:t>
            </w:r>
            <w:r w:rsidRPr="00E954B8">
              <w:rPr>
                <w:b/>
              </w:rPr>
              <w:t>.</w:t>
            </w:r>
          </w:p>
          <w:p w:rsidR="00E954B8" w:rsidRDefault="00ED008A" w:rsidP="00ED008A">
            <w:pPr>
              <w:jc w:val="center"/>
            </w:pPr>
            <w:r w:rsidRPr="00E954B8">
              <w:rPr>
                <w:b/>
              </w:rPr>
              <w:t>NO</w:t>
            </w:r>
          </w:p>
        </w:tc>
        <w:tc>
          <w:tcPr>
            <w:tcW w:w="1890" w:type="dxa"/>
          </w:tcPr>
          <w:p w:rsidR="00E954B8" w:rsidRDefault="00ED008A" w:rsidP="00D427D6">
            <w:pPr>
              <w:jc w:val="center"/>
            </w:pPr>
            <w:r>
              <w:t>This affects the RCS and is covered</w:t>
            </w:r>
          </w:p>
          <w:p w:rsidR="00ED008A" w:rsidRPr="00ED008A" w:rsidRDefault="00ED008A" w:rsidP="00D427D6">
            <w:pPr>
              <w:jc w:val="center"/>
              <w:rPr>
                <w:b/>
              </w:rPr>
            </w:pPr>
            <w:r w:rsidRPr="00ED008A">
              <w:rPr>
                <w:b/>
              </w:rPr>
              <w:t>YES</w:t>
            </w:r>
          </w:p>
        </w:tc>
        <w:tc>
          <w:tcPr>
            <w:tcW w:w="1710" w:type="dxa"/>
          </w:tcPr>
          <w:p w:rsidR="00E954B8" w:rsidRPr="00272DA4" w:rsidRDefault="00ED008A" w:rsidP="00D427D6">
            <w:pPr>
              <w:jc w:val="center"/>
              <w:rPr>
                <w:b/>
              </w:rPr>
            </w:pPr>
            <w:r>
              <w:rPr>
                <w:b/>
              </w:rPr>
              <w:t>NO</w:t>
            </w:r>
          </w:p>
        </w:tc>
      </w:tr>
      <w:tr w:rsidR="00E954B8" w:rsidTr="0093684F">
        <w:trPr>
          <w:trHeight w:val="1151"/>
        </w:trPr>
        <w:tc>
          <w:tcPr>
            <w:tcW w:w="3258" w:type="dxa"/>
          </w:tcPr>
          <w:p w:rsidR="00E954B8" w:rsidRDefault="00ED008A" w:rsidP="00D427D6">
            <w:pPr>
              <w:jc w:val="center"/>
            </w:pPr>
            <w:r>
              <w:t>Misaligned / Stuck Rod</w:t>
            </w:r>
          </w:p>
        </w:tc>
        <w:tc>
          <w:tcPr>
            <w:tcW w:w="6840" w:type="dxa"/>
          </w:tcPr>
          <w:p w:rsidR="00ED008A" w:rsidRPr="00E954B8" w:rsidRDefault="00ED008A" w:rsidP="00ED008A">
            <w:pPr>
              <w:jc w:val="center"/>
              <w:rPr>
                <w:b/>
              </w:rPr>
            </w:pPr>
            <w:r>
              <w:t>This is addressed in NSD 200. This is Advising because it provides technical information with subsequent review by a supervisor (SRO) who is responsible for correct performance of the work activ</w:t>
            </w:r>
            <w:r w:rsidRPr="00272DA4">
              <w:t>ity</w:t>
            </w:r>
            <w:r w:rsidRPr="00E954B8">
              <w:rPr>
                <w:b/>
              </w:rPr>
              <w:t>.</w:t>
            </w:r>
          </w:p>
          <w:p w:rsidR="00E954B8" w:rsidRDefault="00ED008A" w:rsidP="00ED008A">
            <w:pPr>
              <w:jc w:val="center"/>
            </w:pPr>
            <w:r w:rsidRPr="00E954B8">
              <w:rPr>
                <w:b/>
              </w:rPr>
              <w:t>NO</w:t>
            </w:r>
          </w:p>
        </w:tc>
        <w:tc>
          <w:tcPr>
            <w:tcW w:w="1890" w:type="dxa"/>
          </w:tcPr>
          <w:p w:rsidR="0093684F" w:rsidRDefault="0093684F" w:rsidP="0093684F">
            <w:pPr>
              <w:jc w:val="center"/>
            </w:pPr>
            <w:r>
              <w:t>This affects the RCS and is covered</w:t>
            </w:r>
          </w:p>
          <w:p w:rsidR="00E954B8" w:rsidRDefault="0093684F" w:rsidP="0093684F">
            <w:pPr>
              <w:jc w:val="center"/>
            </w:pPr>
            <w:r w:rsidRPr="00ED008A">
              <w:rPr>
                <w:b/>
              </w:rPr>
              <w:t>YES</w:t>
            </w:r>
          </w:p>
        </w:tc>
        <w:tc>
          <w:tcPr>
            <w:tcW w:w="1710" w:type="dxa"/>
          </w:tcPr>
          <w:p w:rsidR="00E954B8" w:rsidRPr="00272DA4" w:rsidRDefault="0093684F" w:rsidP="00D427D6">
            <w:pPr>
              <w:jc w:val="center"/>
              <w:rPr>
                <w:b/>
              </w:rPr>
            </w:pPr>
            <w:r>
              <w:rPr>
                <w:b/>
              </w:rPr>
              <w:t>NO</w:t>
            </w:r>
          </w:p>
        </w:tc>
      </w:tr>
      <w:tr w:rsidR="00E954B8" w:rsidTr="00E954B8">
        <w:tc>
          <w:tcPr>
            <w:tcW w:w="3258" w:type="dxa"/>
          </w:tcPr>
          <w:p w:rsidR="00E954B8" w:rsidRDefault="0093684F" w:rsidP="0093684F">
            <w:pPr>
              <w:jc w:val="center"/>
            </w:pPr>
            <w:r>
              <w:t>Special Nuclear Materials</w:t>
            </w:r>
          </w:p>
        </w:tc>
        <w:tc>
          <w:tcPr>
            <w:tcW w:w="6840" w:type="dxa"/>
          </w:tcPr>
          <w:p w:rsidR="00E954B8" w:rsidRDefault="0093684F" w:rsidP="00D427D6">
            <w:pPr>
              <w:jc w:val="center"/>
            </w:pPr>
            <w:r>
              <w:t>This is NOT Maintenance or Operations</w:t>
            </w:r>
          </w:p>
          <w:p w:rsidR="0093684F" w:rsidRDefault="0093684F" w:rsidP="00D427D6">
            <w:pPr>
              <w:jc w:val="center"/>
            </w:pPr>
          </w:p>
          <w:p w:rsidR="0093684F" w:rsidRPr="0093684F" w:rsidRDefault="0093684F" w:rsidP="00D427D6">
            <w:pPr>
              <w:jc w:val="center"/>
              <w:rPr>
                <w:b/>
              </w:rPr>
            </w:pPr>
            <w:r w:rsidRPr="0093684F">
              <w:rPr>
                <w:b/>
              </w:rPr>
              <w:t>NO</w:t>
            </w:r>
          </w:p>
        </w:tc>
        <w:tc>
          <w:tcPr>
            <w:tcW w:w="1890" w:type="dxa"/>
          </w:tcPr>
          <w:p w:rsidR="00E954B8" w:rsidRDefault="0093684F" w:rsidP="00D427D6">
            <w:pPr>
              <w:jc w:val="center"/>
            </w:pPr>
            <w:r>
              <w:t>This is NOT a covered system</w:t>
            </w:r>
          </w:p>
          <w:p w:rsidR="0093684F" w:rsidRPr="0093684F" w:rsidRDefault="0093684F" w:rsidP="00D427D6">
            <w:pPr>
              <w:jc w:val="center"/>
              <w:rPr>
                <w:b/>
              </w:rPr>
            </w:pPr>
            <w:r w:rsidRPr="0093684F">
              <w:rPr>
                <w:b/>
              </w:rPr>
              <w:t>NO</w:t>
            </w:r>
          </w:p>
        </w:tc>
        <w:tc>
          <w:tcPr>
            <w:tcW w:w="1710" w:type="dxa"/>
          </w:tcPr>
          <w:p w:rsidR="00E954B8" w:rsidRPr="00272DA4" w:rsidRDefault="0093684F" w:rsidP="0093684F">
            <w:pPr>
              <w:jc w:val="center"/>
              <w:rPr>
                <w:b/>
              </w:rPr>
            </w:pPr>
            <w:r>
              <w:rPr>
                <w:b/>
              </w:rPr>
              <w:t>NO</w:t>
            </w:r>
          </w:p>
        </w:tc>
      </w:tr>
      <w:tr w:rsidR="00E954B8" w:rsidTr="00E954B8">
        <w:tc>
          <w:tcPr>
            <w:tcW w:w="3258" w:type="dxa"/>
          </w:tcPr>
          <w:p w:rsidR="00E954B8" w:rsidRDefault="0093684F" w:rsidP="0093684F">
            <w:pPr>
              <w:jc w:val="center"/>
            </w:pPr>
            <w:r>
              <w:t>Debris Scan / Retrieval</w:t>
            </w:r>
          </w:p>
        </w:tc>
        <w:tc>
          <w:tcPr>
            <w:tcW w:w="6840" w:type="dxa"/>
          </w:tcPr>
          <w:p w:rsidR="00E954B8" w:rsidRDefault="0093684F" w:rsidP="0093684F">
            <w:pPr>
              <w:jc w:val="center"/>
            </w:pPr>
            <w:r>
              <w:t>We may direct the scan and sometimes the retrieval without working through a SRO or Fuel Handling Supervisor</w:t>
            </w:r>
          </w:p>
          <w:p w:rsidR="0093684F" w:rsidRDefault="0093684F" w:rsidP="0093684F">
            <w:pPr>
              <w:jc w:val="center"/>
            </w:pPr>
          </w:p>
          <w:p w:rsidR="0093684F" w:rsidRDefault="0093684F" w:rsidP="0093684F">
            <w:pPr>
              <w:jc w:val="center"/>
            </w:pPr>
          </w:p>
          <w:p w:rsidR="0093684F" w:rsidRPr="0093684F" w:rsidRDefault="0093684F" w:rsidP="0093684F">
            <w:pPr>
              <w:jc w:val="center"/>
              <w:rPr>
                <w:b/>
              </w:rPr>
            </w:pPr>
            <w:r w:rsidRPr="0093684F">
              <w:rPr>
                <w:b/>
              </w:rPr>
              <w:t>YES</w:t>
            </w:r>
          </w:p>
        </w:tc>
        <w:tc>
          <w:tcPr>
            <w:tcW w:w="1890" w:type="dxa"/>
          </w:tcPr>
          <w:p w:rsidR="00E954B8" w:rsidRDefault="0093684F" w:rsidP="00D427D6">
            <w:pPr>
              <w:jc w:val="center"/>
            </w:pPr>
            <w:r>
              <w:t xml:space="preserve">Fuel Handling </w:t>
            </w:r>
            <w:r w:rsidR="003D5F3B">
              <w:t>Equipment</w:t>
            </w:r>
            <w:r>
              <w:t xml:space="preserve"> and </w:t>
            </w:r>
            <w:r w:rsidR="003D5F3B">
              <w:t xml:space="preserve">Spent </w:t>
            </w:r>
            <w:r>
              <w:t>Fuel are not covered systems</w:t>
            </w:r>
          </w:p>
          <w:p w:rsidR="0093684F" w:rsidRPr="0093684F" w:rsidRDefault="0093684F" w:rsidP="00D427D6">
            <w:pPr>
              <w:jc w:val="center"/>
              <w:rPr>
                <w:b/>
              </w:rPr>
            </w:pPr>
            <w:r w:rsidRPr="0093684F">
              <w:rPr>
                <w:b/>
              </w:rPr>
              <w:t>NO</w:t>
            </w:r>
          </w:p>
        </w:tc>
        <w:tc>
          <w:tcPr>
            <w:tcW w:w="1710" w:type="dxa"/>
          </w:tcPr>
          <w:p w:rsidR="00E954B8" w:rsidRPr="00272DA4" w:rsidRDefault="0093684F" w:rsidP="0093684F">
            <w:pPr>
              <w:jc w:val="center"/>
              <w:rPr>
                <w:b/>
              </w:rPr>
            </w:pPr>
            <w:r>
              <w:rPr>
                <w:b/>
              </w:rPr>
              <w:t>NO</w:t>
            </w:r>
          </w:p>
        </w:tc>
      </w:tr>
      <w:tr w:rsidR="00E954B8" w:rsidTr="00E954B8">
        <w:tc>
          <w:tcPr>
            <w:tcW w:w="3258" w:type="dxa"/>
          </w:tcPr>
          <w:p w:rsidR="00E954B8" w:rsidRDefault="0093684F" w:rsidP="00D427D6">
            <w:pPr>
              <w:jc w:val="center"/>
            </w:pPr>
            <w:r>
              <w:t>ERO Duties</w:t>
            </w:r>
          </w:p>
        </w:tc>
        <w:tc>
          <w:tcPr>
            <w:tcW w:w="6840" w:type="dxa"/>
          </w:tcPr>
          <w:p w:rsidR="0093684F" w:rsidRDefault="0093684F" w:rsidP="0093684F">
            <w:pPr>
              <w:jc w:val="center"/>
            </w:pPr>
            <w:r>
              <w:t>This is NOT Maintenance or Operations</w:t>
            </w:r>
          </w:p>
          <w:p w:rsidR="0093684F" w:rsidRDefault="0093684F" w:rsidP="0093684F">
            <w:pPr>
              <w:jc w:val="center"/>
            </w:pPr>
          </w:p>
          <w:p w:rsidR="00E954B8" w:rsidRDefault="0093684F" w:rsidP="0093684F">
            <w:pPr>
              <w:jc w:val="center"/>
            </w:pPr>
            <w:r w:rsidRPr="0093684F">
              <w:rPr>
                <w:b/>
              </w:rPr>
              <w:t>NO</w:t>
            </w:r>
          </w:p>
        </w:tc>
        <w:tc>
          <w:tcPr>
            <w:tcW w:w="1890" w:type="dxa"/>
          </w:tcPr>
          <w:p w:rsidR="00E954B8" w:rsidRDefault="00A41D45" w:rsidP="00D427D6">
            <w:pPr>
              <w:jc w:val="center"/>
            </w:pPr>
            <w:r>
              <w:t>NOT a covered System</w:t>
            </w:r>
          </w:p>
          <w:p w:rsidR="00A41D45" w:rsidRPr="00A41D45" w:rsidRDefault="00A41D45" w:rsidP="00D427D6">
            <w:pPr>
              <w:jc w:val="center"/>
              <w:rPr>
                <w:b/>
              </w:rPr>
            </w:pPr>
            <w:r w:rsidRPr="00A41D45">
              <w:rPr>
                <w:b/>
              </w:rPr>
              <w:t>NO</w:t>
            </w:r>
          </w:p>
        </w:tc>
        <w:tc>
          <w:tcPr>
            <w:tcW w:w="1710" w:type="dxa"/>
          </w:tcPr>
          <w:p w:rsidR="00E954B8" w:rsidRPr="00272DA4" w:rsidRDefault="00A41D45" w:rsidP="00D427D6">
            <w:pPr>
              <w:jc w:val="center"/>
              <w:rPr>
                <w:b/>
              </w:rPr>
            </w:pPr>
            <w:r>
              <w:rPr>
                <w:b/>
              </w:rPr>
              <w:t>NO</w:t>
            </w:r>
          </w:p>
        </w:tc>
      </w:tr>
      <w:tr w:rsidR="00E954B8" w:rsidTr="00E954B8">
        <w:tc>
          <w:tcPr>
            <w:tcW w:w="3258" w:type="dxa"/>
          </w:tcPr>
          <w:p w:rsidR="00E954B8" w:rsidRDefault="00A41D45" w:rsidP="00D427D6">
            <w:pPr>
              <w:jc w:val="center"/>
            </w:pPr>
            <w:r>
              <w:t>EFPD update on OAC</w:t>
            </w:r>
          </w:p>
        </w:tc>
        <w:tc>
          <w:tcPr>
            <w:tcW w:w="6840" w:type="dxa"/>
          </w:tcPr>
          <w:p w:rsidR="00E954B8" w:rsidRDefault="00A41D45" w:rsidP="00D427D6">
            <w:pPr>
              <w:jc w:val="center"/>
            </w:pPr>
            <w:r>
              <w:t>We may do this without working through an SRO</w:t>
            </w:r>
            <w:r w:rsidR="003D5F3B">
              <w:t>;</w:t>
            </w:r>
            <w:r>
              <w:t xml:space="preserve"> Not used except for BCC time to equilibrium and for and for NAS calculated peaking factors.</w:t>
            </w:r>
          </w:p>
          <w:p w:rsidR="00A41D45" w:rsidRDefault="00A41D45" w:rsidP="00D427D6">
            <w:pPr>
              <w:jc w:val="center"/>
            </w:pPr>
            <w:r>
              <w:t xml:space="preserve">This has no effect on actual peaking factors. </w:t>
            </w:r>
          </w:p>
          <w:p w:rsidR="00A41D45" w:rsidRPr="00A41D45" w:rsidRDefault="00A41D45" w:rsidP="00D427D6">
            <w:pPr>
              <w:jc w:val="center"/>
              <w:rPr>
                <w:b/>
              </w:rPr>
            </w:pPr>
            <w:r w:rsidRPr="00A41D45">
              <w:rPr>
                <w:b/>
              </w:rPr>
              <w:t>YES</w:t>
            </w:r>
          </w:p>
        </w:tc>
        <w:tc>
          <w:tcPr>
            <w:tcW w:w="1890" w:type="dxa"/>
          </w:tcPr>
          <w:p w:rsidR="00E954B8" w:rsidRDefault="00A41D45" w:rsidP="00D427D6">
            <w:pPr>
              <w:jc w:val="center"/>
            </w:pPr>
            <w:r>
              <w:t>The OAC is NOT a covered system</w:t>
            </w:r>
          </w:p>
          <w:p w:rsidR="00A41D45" w:rsidRDefault="00A41D45" w:rsidP="00D427D6">
            <w:pPr>
              <w:jc w:val="center"/>
            </w:pPr>
          </w:p>
          <w:p w:rsidR="00A41D45" w:rsidRPr="00A41D45" w:rsidRDefault="00A41D45" w:rsidP="00D427D6">
            <w:pPr>
              <w:jc w:val="center"/>
              <w:rPr>
                <w:b/>
              </w:rPr>
            </w:pPr>
            <w:r w:rsidRPr="00A41D45">
              <w:rPr>
                <w:b/>
              </w:rPr>
              <w:t>NO</w:t>
            </w:r>
          </w:p>
        </w:tc>
        <w:tc>
          <w:tcPr>
            <w:tcW w:w="1710" w:type="dxa"/>
          </w:tcPr>
          <w:p w:rsidR="00E954B8" w:rsidRPr="00272DA4" w:rsidRDefault="00A41D45" w:rsidP="00D427D6">
            <w:pPr>
              <w:jc w:val="center"/>
              <w:rPr>
                <w:b/>
              </w:rPr>
            </w:pPr>
            <w:r>
              <w:rPr>
                <w:b/>
              </w:rPr>
              <w:t>NO</w:t>
            </w:r>
          </w:p>
        </w:tc>
      </w:tr>
    </w:tbl>
    <w:p w:rsidR="006E44D4" w:rsidRDefault="006E44D4"/>
    <w:sectPr w:rsidR="006E44D4" w:rsidSect="00ED008A">
      <w:pgSz w:w="15840" w:h="12240" w:orient="landscape"/>
      <w:pgMar w:top="720" w:right="144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B2F" w:rsidRDefault="00AC6B2F" w:rsidP="00ED008A">
      <w:pPr>
        <w:spacing w:after="0" w:line="240" w:lineRule="auto"/>
      </w:pPr>
      <w:r>
        <w:separator/>
      </w:r>
    </w:p>
  </w:endnote>
  <w:endnote w:type="continuationSeparator" w:id="0">
    <w:p w:rsidR="00AC6B2F" w:rsidRDefault="00AC6B2F" w:rsidP="00ED0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B2F" w:rsidRDefault="00AC6B2F" w:rsidP="00ED008A">
      <w:pPr>
        <w:spacing w:after="0" w:line="240" w:lineRule="auto"/>
      </w:pPr>
      <w:r>
        <w:separator/>
      </w:r>
    </w:p>
  </w:footnote>
  <w:footnote w:type="continuationSeparator" w:id="0">
    <w:p w:rsidR="00AC6B2F" w:rsidRDefault="00AC6B2F" w:rsidP="00ED00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427D6"/>
    <w:rsid w:val="001E6B66"/>
    <w:rsid w:val="00272DA4"/>
    <w:rsid w:val="003D5F3B"/>
    <w:rsid w:val="004568EB"/>
    <w:rsid w:val="005F4323"/>
    <w:rsid w:val="00687A6F"/>
    <w:rsid w:val="006D4E35"/>
    <w:rsid w:val="006E44D4"/>
    <w:rsid w:val="007577DF"/>
    <w:rsid w:val="0076181D"/>
    <w:rsid w:val="0093684F"/>
    <w:rsid w:val="00A41D45"/>
    <w:rsid w:val="00AC6B2F"/>
    <w:rsid w:val="00CB0411"/>
    <w:rsid w:val="00D427D6"/>
    <w:rsid w:val="00DA7CD1"/>
    <w:rsid w:val="00E954B8"/>
    <w:rsid w:val="00ED008A"/>
    <w:rsid w:val="00F05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00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008A"/>
  </w:style>
  <w:style w:type="paragraph" w:styleId="Footer">
    <w:name w:val="footer"/>
    <w:basedOn w:val="Normal"/>
    <w:link w:val="FooterChar"/>
    <w:uiPriority w:val="99"/>
    <w:semiHidden/>
    <w:unhideWhenUsed/>
    <w:rsid w:val="00ED00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00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 randles</dc:creator>
  <cp:keywords/>
  <dc:description/>
  <cp:lastModifiedBy>Randles, James H</cp:lastModifiedBy>
  <cp:revision>3</cp:revision>
  <dcterms:created xsi:type="dcterms:W3CDTF">2009-09-16T20:55:00Z</dcterms:created>
  <dcterms:modified xsi:type="dcterms:W3CDTF">2009-09-21T17:19:00Z</dcterms:modified>
</cp:coreProperties>
</file>